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5C5" w:rsidRPr="005F55C5" w:rsidRDefault="005F55C5" w:rsidP="00103E23">
      <w:pPr>
        <w:spacing w:after="0"/>
        <w:jc w:val="both"/>
        <w:rPr>
          <w:lang w:val="es-ES"/>
        </w:rPr>
      </w:pPr>
      <w:r w:rsidRPr="005F55C5">
        <w:rPr>
          <w:lang w:val="es-ES"/>
        </w:rPr>
        <w:t>CAPÍTULO INTRODUCTORIO. ANÁLISIS DEL INVENTARIO DOCUMENTAL: EL SISTEMA ESTRUCTURANTE DE ESPACIO PÚBLICO</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 xml:space="preserve">El ordenamiento territorial contemporáneo exige una comprensión holística y sistémica de los componentes que estructuran la ciudad. En este sentido, el espacio público ha transitado de ser concebido históricamente como un mero vacío urbano o un residuo de la planificación inmobiliaria, a erigirse como el eje vertebrador del metabolismo urbano, la cohesión social y la resiliencia ecológica. Desde la óptica de la planificación territorial avanzada, el espacio público no es únicamente un soporte físico, sino una plataforma de interacción ciudadana, un conector de la estructura ecológica principal y el escenario por </w:t>
      </w:r>
      <w:bookmarkStart w:id="0" w:name="_GoBack"/>
      <w:bookmarkEnd w:id="0"/>
      <w:r w:rsidRPr="005F55C5">
        <w:rPr>
          <w:lang w:val="es-ES"/>
        </w:rPr>
        <w:t>excelencia donde se materializa el derecho a la ciudad. Por consiguiente, la evaluación de este componente dentro del Plan de Ordenamiento Territorial (POT) requiere de una rigurosidad analítica superlativa, fundamentada en la revisión crítica del acervo documental, técnico y normativo que ha regido su evolución durante los últimos ciclos de planificación.</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El presente capítulo tiene como propósito fundamental establecer las bases técnicas, metodológicas y conceptuales para el análisis del inventario documental asociado al Componente de Espacio Público en el municipio de Armenia. Este ejercicio no se circunscribe a la simple catalogación exegética o enumeración pasiva de archivos, estudios e instrumentos normativos; por el contrario, se configura como una auscultación rigurosa orientada a identificar y tipificar las brechas documentales existentes. El análisis busca desentrañar las desconexiones estructurales entre la información disponible, la normativa aplicable, las decisiones de planificación y la ejecución material de los proyectos. Se parte de la premisa fundamental de que la calidad del diagnóstico territorial —fase esencial para la revisión y ajuste del POT— está intrínsecamente subordinada a la pertinencia, vigencia, jerarquía normativa, consistencia interna y capacidad de articulación intersectorial del soporte documental disponible.</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La aproximación inicial a los documentos técnicos de soporte, los informes de seguimiento y evaluación (Acuerdo 019 de 2009), y los análisis sectoriales recientes, devela una profunda asimetría entre el modelo de ocupación teórico y la realidad empírica del territorio. Los documentos reflejan una deuda histórica en términos de espacio público efectivo, evidenciada en indicadores críticos que sitúan la disponibilidad en niveles marginales (aproximadamente 3.4 metros cuadrados de espacio verde por habitante), un valor diametralmente alejado de los estándares óptimos nacionales e internacionales. El análisis documental preliminar revela que las lógicas de expansión y densificación residencial no han estado acompañadas de la consolidación de un sistema de soporte público equitativo. Las cesiones urbanísticas, documentadas en múltiples actos administrativos y licencias, se han traducido predominantemente en "retazos" de suelo residual, desconectados de las dinámicas sociales, con topografías inviables y sin aptitud para el goce colectivo, lo que ha derivado en una degradación cualitativa del hábitat.</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 xml:space="preserve">El corpus documental objeto de este análisis abarca una amplia taxonomía de instrumentos: desde el Documento Técnico de Soporte (DTS) original del POT, pasando por los expedientes municipales, censos de arbolado y zonas verdes (PGIRS), Planes Especiales de Manejo y Protección (PEMP - como el de la Estación del Ferrocarril), hasta los conceptos técnicos ambientales expedidos por las corporaciones autónomas regionales (CRQ). La sinergia transversal de estos documentos subraya una falla sistemática en la </w:t>
      </w:r>
      <w:proofErr w:type="spellStart"/>
      <w:r w:rsidRPr="005F55C5">
        <w:rPr>
          <w:lang w:val="es-ES"/>
        </w:rPr>
        <w:t>operativización</w:t>
      </w:r>
      <w:proofErr w:type="spellEnd"/>
      <w:r w:rsidRPr="005F55C5">
        <w:rPr>
          <w:lang w:val="es-ES"/>
        </w:rPr>
        <w:t xml:space="preserve"> jurídica y financiera del ordenamiento. El fracaso en la implementación y recaudo efectivo de instrumentos de gestión de suelo, tales como la Participación en Plusvalía y la asignación </w:t>
      </w:r>
      <w:r w:rsidRPr="005F55C5">
        <w:rPr>
          <w:lang w:val="es-ES"/>
        </w:rPr>
        <w:lastRenderedPageBreak/>
        <w:t>equitativa de cargas urbanísticas, constituye un hallazgo documental central. Esta omisión institucional, rastreable a través del déficit de reglamentación en los archivos municipales, ha inhibido la capacidad del Estado local para financiar la adquisición, adecuación y mantenimiento de los nodos estructurantes del espacio público.</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 xml:space="preserve">Para superar las deficiencias diagnosticadas y dotar al nuevo POT de un cimiento técnico inexpugnable, este análisis documental adopta un enfoque sistémico </w:t>
      </w:r>
      <w:proofErr w:type="spellStart"/>
      <w:r w:rsidRPr="005F55C5">
        <w:rPr>
          <w:lang w:val="es-ES"/>
        </w:rPr>
        <w:t>multiescalar</w:t>
      </w:r>
      <w:proofErr w:type="spellEnd"/>
      <w:r w:rsidRPr="005F55C5">
        <w:rPr>
          <w:lang w:val="es-ES"/>
        </w:rPr>
        <w:t>. Los documentos inventariados se someterán a un tamizaje riguroso bajo cuatro criterios determinantes:</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Validez Jurídica y Jerarquía Normativa, asegurando la armonización con la Ley 388 de 1997, el Decreto 1077 de 2015 y preceptos ambientales superiores.</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Actualidad y Pertinencia Técnica, descartando estudios que presenten rezago frente a las nuevas dinámicas demográficas y de cambio climático.</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Aplicabilidad Espacial, evaluando si la cartografía y los datos (como el Censo Arbóreo y de Zonas Verdes) poseen la escala adecuada para su traducción en normas urbanísticas concretas.</w:t>
      </w:r>
    </w:p>
    <w:p w:rsidR="005F55C5" w:rsidRPr="005F55C5" w:rsidRDefault="005F55C5" w:rsidP="00103E23">
      <w:pPr>
        <w:spacing w:after="0"/>
        <w:jc w:val="both"/>
        <w:rPr>
          <w:lang w:val="es-ES"/>
        </w:rPr>
      </w:pPr>
    </w:p>
    <w:p w:rsidR="005F55C5" w:rsidRPr="005F55C5" w:rsidRDefault="005F55C5" w:rsidP="00103E23">
      <w:pPr>
        <w:spacing w:after="0"/>
        <w:jc w:val="both"/>
        <w:rPr>
          <w:lang w:val="es-ES"/>
        </w:rPr>
      </w:pPr>
      <w:r w:rsidRPr="005F55C5">
        <w:rPr>
          <w:lang w:val="es-ES"/>
        </w:rPr>
        <w:t>Articulación Intersectorial, midiendo la coherencia entre el sistema de movilidad, las infraestructuras de servicios públicos y la plataforma ambiental, garantizando que el espacio público actúe como el integrador sistémico del modelo de ciudad.</w:t>
      </w:r>
    </w:p>
    <w:p w:rsidR="005F55C5" w:rsidRPr="005F55C5" w:rsidRDefault="005F55C5" w:rsidP="00103E23">
      <w:pPr>
        <w:spacing w:after="0"/>
        <w:jc w:val="both"/>
        <w:rPr>
          <w:lang w:val="es-ES"/>
        </w:rPr>
      </w:pPr>
    </w:p>
    <w:p w:rsidR="00306F40" w:rsidRPr="005F55C5" w:rsidRDefault="005F55C5" w:rsidP="00103E23">
      <w:pPr>
        <w:spacing w:after="0"/>
        <w:jc w:val="both"/>
        <w:rPr>
          <w:lang w:val="es-ES"/>
        </w:rPr>
      </w:pPr>
      <w:r w:rsidRPr="005F55C5">
        <w:rPr>
          <w:lang w:val="es-ES"/>
        </w:rPr>
        <w:t xml:space="preserve">En corolario, la revisión exhaustiva que se despliega en las secciones subsiguientes proporcionará un mapeo crítico de los vacíos de información y los conflictos normativos que han obstaculizado la estructuración de una red de espacios públicos continua, accesible y sostenible. La identificación de estas "brechas de aplicabilidad" es el imperativo categórico que permitirá transitar de una planeación pasiva y reactiva, anclada en documentos desarticulados, hacia un diagnóstico prospectivo e integrado. El resultado de esta valoración no solo justificará jurídicamente las decisiones de revisión del plan, sino que trazará la hoja de ruta ineludible para formular mecanismos de gestión eficientes, proyectando a la ciudad hacia un modelo de equidad </w:t>
      </w:r>
      <w:proofErr w:type="spellStart"/>
      <w:r w:rsidRPr="005F55C5">
        <w:rPr>
          <w:lang w:val="es-ES"/>
        </w:rPr>
        <w:t>socioespacial</w:t>
      </w:r>
      <w:proofErr w:type="spellEnd"/>
      <w:r w:rsidRPr="005F55C5">
        <w:rPr>
          <w:lang w:val="es-ES"/>
        </w:rPr>
        <w:t>, donde el espacio público recupere su vocación inalienable como garante de la calidad de vida y la competitividad territorial.</w:t>
      </w:r>
    </w:p>
    <w:sectPr w:rsidR="00306F40" w:rsidRPr="005F55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5C5"/>
    <w:rsid w:val="00103E23"/>
    <w:rsid w:val="00306F40"/>
    <w:rsid w:val="0035304D"/>
    <w:rsid w:val="005A58F3"/>
    <w:rsid w:val="005F55C5"/>
    <w:rsid w:val="00BA156F"/>
    <w:rsid w:val="00DC7627"/>
    <w:rsid w:val="00E25F25"/>
    <w:rsid w:val="00E850FD"/>
    <w:rsid w:val="00F9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B257F0-B387-4118-AEB3-10D2ECE9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484137">
      <w:bodyDiv w:val="1"/>
      <w:marLeft w:val="0"/>
      <w:marRight w:val="0"/>
      <w:marTop w:val="0"/>
      <w:marBottom w:val="0"/>
      <w:divBdr>
        <w:top w:val="none" w:sz="0" w:space="0" w:color="auto"/>
        <w:left w:val="none" w:sz="0" w:space="0" w:color="auto"/>
        <w:bottom w:val="none" w:sz="0" w:space="0" w:color="auto"/>
        <w:right w:val="none" w:sz="0" w:space="0" w:color="auto"/>
      </w:divBdr>
      <w:divsChild>
        <w:div w:id="467212312">
          <w:marLeft w:val="0"/>
          <w:marRight w:val="0"/>
          <w:marTop w:val="0"/>
          <w:marBottom w:val="0"/>
          <w:divBdr>
            <w:top w:val="none" w:sz="0" w:space="0" w:color="auto"/>
            <w:left w:val="none" w:sz="0" w:space="0" w:color="auto"/>
            <w:bottom w:val="none" w:sz="0" w:space="0" w:color="auto"/>
            <w:right w:val="none" w:sz="0" w:space="0" w:color="auto"/>
          </w:divBdr>
        </w:div>
        <w:div w:id="1657875946">
          <w:marLeft w:val="0"/>
          <w:marRight w:val="0"/>
          <w:marTop w:val="0"/>
          <w:marBottom w:val="0"/>
          <w:divBdr>
            <w:top w:val="none" w:sz="0" w:space="0" w:color="auto"/>
            <w:left w:val="none" w:sz="0" w:space="0" w:color="auto"/>
            <w:bottom w:val="none" w:sz="0" w:space="0" w:color="auto"/>
            <w:right w:val="none" w:sz="0" w:space="0" w:color="auto"/>
          </w:divBdr>
        </w:div>
        <w:div w:id="1845172077">
          <w:marLeft w:val="0"/>
          <w:marRight w:val="0"/>
          <w:marTop w:val="0"/>
          <w:marBottom w:val="0"/>
          <w:divBdr>
            <w:top w:val="none" w:sz="0" w:space="0" w:color="auto"/>
            <w:left w:val="none" w:sz="0" w:space="0" w:color="auto"/>
            <w:bottom w:val="none" w:sz="0" w:space="0" w:color="auto"/>
            <w:right w:val="none" w:sz="0" w:space="0" w:color="auto"/>
          </w:divBdr>
        </w:div>
        <w:div w:id="802314290">
          <w:marLeft w:val="0"/>
          <w:marRight w:val="0"/>
          <w:marTop w:val="0"/>
          <w:marBottom w:val="0"/>
          <w:divBdr>
            <w:top w:val="none" w:sz="0" w:space="0" w:color="auto"/>
            <w:left w:val="none" w:sz="0" w:space="0" w:color="auto"/>
            <w:bottom w:val="none" w:sz="0" w:space="0" w:color="auto"/>
            <w:right w:val="none" w:sz="0" w:space="0" w:color="auto"/>
          </w:divBdr>
        </w:div>
        <w:div w:id="262305947">
          <w:marLeft w:val="0"/>
          <w:marRight w:val="0"/>
          <w:marTop w:val="0"/>
          <w:marBottom w:val="0"/>
          <w:divBdr>
            <w:top w:val="none" w:sz="0" w:space="0" w:color="auto"/>
            <w:left w:val="none" w:sz="0" w:space="0" w:color="auto"/>
            <w:bottom w:val="none" w:sz="0" w:space="0" w:color="auto"/>
            <w:right w:val="none" w:sz="0" w:space="0" w:color="auto"/>
          </w:divBdr>
        </w:div>
        <w:div w:id="2017879594">
          <w:marLeft w:val="0"/>
          <w:marRight w:val="0"/>
          <w:marTop w:val="0"/>
          <w:marBottom w:val="0"/>
          <w:divBdr>
            <w:top w:val="none" w:sz="0" w:space="0" w:color="auto"/>
            <w:left w:val="none" w:sz="0" w:space="0" w:color="auto"/>
            <w:bottom w:val="none" w:sz="0" w:space="0" w:color="auto"/>
            <w:right w:val="none" w:sz="0" w:space="0" w:color="auto"/>
          </w:divBdr>
        </w:div>
        <w:div w:id="297416792">
          <w:marLeft w:val="0"/>
          <w:marRight w:val="0"/>
          <w:marTop w:val="0"/>
          <w:marBottom w:val="0"/>
          <w:divBdr>
            <w:top w:val="none" w:sz="0" w:space="0" w:color="auto"/>
            <w:left w:val="none" w:sz="0" w:space="0" w:color="auto"/>
            <w:bottom w:val="none" w:sz="0" w:space="0" w:color="auto"/>
            <w:right w:val="none" w:sz="0" w:space="0" w:color="auto"/>
          </w:divBdr>
        </w:div>
        <w:div w:id="838346846">
          <w:marLeft w:val="0"/>
          <w:marRight w:val="0"/>
          <w:marTop w:val="0"/>
          <w:marBottom w:val="0"/>
          <w:divBdr>
            <w:top w:val="none" w:sz="0" w:space="0" w:color="auto"/>
            <w:left w:val="none" w:sz="0" w:space="0" w:color="auto"/>
            <w:bottom w:val="none" w:sz="0" w:space="0" w:color="auto"/>
            <w:right w:val="none" w:sz="0" w:space="0" w:color="auto"/>
          </w:divBdr>
        </w:div>
        <w:div w:id="946081659">
          <w:marLeft w:val="0"/>
          <w:marRight w:val="0"/>
          <w:marTop w:val="0"/>
          <w:marBottom w:val="0"/>
          <w:divBdr>
            <w:top w:val="none" w:sz="0" w:space="0" w:color="auto"/>
            <w:left w:val="none" w:sz="0" w:space="0" w:color="auto"/>
            <w:bottom w:val="none" w:sz="0" w:space="0" w:color="auto"/>
            <w:right w:val="none" w:sz="0" w:space="0" w:color="auto"/>
          </w:divBdr>
        </w:div>
        <w:div w:id="2060205148">
          <w:marLeft w:val="0"/>
          <w:marRight w:val="0"/>
          <w:marTop w:val="0"/>
          <w:marBottom w:val="0"/>
          <w:divBdr>
            <w:top w:val="none" w:sz="0" w:space="0" w:color="auto"/>
            <w:left w:val="none" w:sz="0" w:space="0" w:color="auto"/>
            <w:bottom w:val="none" w:sz="0" w:space="0" w:color="auto"/>
            <w:right w:val="none" w:sz="0" w:space="0" w:color="auto"/>
          </w:divBdr>
        </w:div>
        <w:div w:id="943923854">
          <w:marLeft w:val="0"/>
          <w:marRight w:val="0"/>
          <w:marTop w:val="0"/>
          <w:marBottom w:val="0"/>
          <w:divBdr>
            <w:top w:val="none" w:sz="0" w:space="0" w:color="auto"/>
            <w:left w:val="none" w:sz="0" w:space="0" w:color="auto"/>
            <w:bottom w:val="none" w:sz="0" w:space="0" w:color="auto"/>
            <w:right w:val="none" w:sz="0" w:space="0" w:color="auto"/>
          </w:divBdr>
        </w:div>
        <w:div w:id="570845016">
          <w:marLeft w:val="0"/>
          <w:marRight w:val="0"/>
          <w:marTop w:val="0"/>
          <w:marBottom w:val="0"/>
          <w:divBdr>
            <w:top w:val="none" w:sz="0" w:space="0" w:color="auto"/>
            <w:left w:val="none" w:sz="0" w:space="0" w:color="auto"/>
            <w:bottom w:val="none" w:sz="0" w:space="0" w:color="auto"/>
            <w:right w:val="none" w:sz="0" w:space="0" w:color="auto"/>
          </w:divBdr>
        </w:div>
        <w:div w:id="921716889">
          <w:marLeft w:val="0"/>
          <w:marRight w:val="0"/>
          <w:marTop w:val="0"/>
          <w:marBottom w:val="0"/>
          <w:divBdr>
            <w:top w:val="none" w:sz="0" w:space="0" w:color="auto"/>
            <w:left w:val="none" w:sz="0" w:space="0" w:color="auto"/>
            <w:bottom w:val="none" w:sz="0" w:space="0" w:color="auto"/>
            <w:right w:val="none" w:sz="0" w:space="0" w:color="auto"/>
          </w:divBdr>
        </w:div>
        <w:div w:id="1078477080">
          <w:marLeft w:val="0"/>
          <w:marRight w:val="0"/>
          <w:marTop w:val="0"/>
          <w:marBottom w:val="0"/>
          <w:divBdr>
            <w:top w:val="none" w:sz="0" w:space="0" w:color="auto"/>
            <w:left w:val="none" w:sz="0" w:space="0" w:color="auto"/>
            <w:bottom w:val="none" w:sz="0" w:space="0" w:color="auto"/>
            <w:right w:val="none" w:sz="0" w:space="0" w:color="auto"/>
          </w:divBdr>
        </w:div>
        <w:div w:id="1529445034">
          <w:marLeft w:val="0"/>
          <w:marRight w:val="0"/>
          <w:marTop w:val="0"/>
          <w:marBottom w:val="0"/>
          <w:divBdr>
            <w:top w:val="none" w:sz="0" w:space="0" w:color="auto"/>
            <w:left w:val="none" w:sz="0" w:space="0" w:color="auto"/>
            <w:bottom w:val="none" w:sz="0" w:space="0" w:color="auto"/>
            <w:right w:val="none" w:sz="0" w:space="0" w:color="auto"/>
          </w:divBdr>
        </w:div>
        <w:div w:id="2045515166">
          <w:marLeft w:val="0"/>
          <w:marRight w:val="0"/>
          <w:marTop w:val="0"/>
          <w:marBottom w:val="0"/>
          <w:divBdr>
            <w:top w:val="none" w:sz="0" w:space="0" w:color="auto"/>
            <w:left w:val="none" w:sz="0" w:space="0" w:color="auto"/>
            <w:bottom w:val="none" w:sz="0" w:space="0" w:color="auto"/>
            <w:right w:val="none" w:sz="0" w:space="0" w:color="auto"/>
          </w:divBdr>
        </w:div>
        <w:div w:id="1303194769">
          <w:marLeft w:val="0"/>
          <w:marRight w:val="0"/>
          <w:marTop w:val="0"/>
          <w:marBottom w:val="0"/>
          <w:divBdr>
            <w:top w:val="none" w:sz="0" w:space="0" w:color="auto"/>
            <w:left w:val="none" w:sz="0" w:space="0" w:color="auto"/>
            <w:bottom w:val="none" w:sz="0" w:space="0" w:color="auto"/>
            <w:right w:val="none" w:sz="0" w:space="0" w:color="auto"/>
          </w:divBdr>
        </w:div>
        <w:div w:id="1515807879">
          <w:marLeft w:val="0"/>
          <w:marRight w:val="0"/>
          <w:marTop w:val="0"/>
          <w:marBottom w:val="0"/>
          <w:divBdr>
            <w:top w:val="none" w:sz="0" w:space="0" w:color="auto"/>
            <w:left w:val="none" w:sz="0" w:space="0" w:color="auto"/>
            <w:bottom w:val="none" w:sz="0" w:space="0" w:color="auto"/>
            <w:right w:val="none" w:sz="0" w:space="0" w:color="auto"/>
          </w:divBdr>
        </w:div>
        <w:div w:id="648479156">
          <w:marLeft w:val="0"/>
          <w:marRight w:val="0"/>
          <w:marTop w:val="0"/>
          <w:marBottom w:val="0"/>
          <w:divBdr>
            <w:top w:val="none" w:sz="0" w:space="0" w:color="auto"/>
            <w:left w:val="none" w:sz="0" w:space="0" w:color="auto"/>
            <w:bottom w:val="none" w:sz="0" w:space="0" w:color="auto"/>
            <w:right w:val="none" w:sz="0" w:space="0" w:color="auto"/>
          </w:divBdr>
        </w:div>
        <w:div w:id="1681546622">
          <w:marLeft w:val="0"/>
          <w:marRight w:val="0"/>
          <w:marTop w:val="0"/>
          <w:marBottom w:val="0"/>
          <w:divBdr>
            <w:top w:val="none" w:sz="0" w:space="0" w:color="auto"/>
            <w:left w:val="none" w:sz="0" w:space="0" w:color="auto"/>
            <w:bottom w:val="none" w:sz="0" w:space="0" w:color="auto"/>
            <w:right w:val="none" w:sz="0" w:space="0" w:color="auto"/>
          </w:divBdr>
        </w:div>
        <w:div w:id="1103115123">
          <w:marLeft w:val="0"/>
          <w:marRight w:val="0"/>
          <w:marTop w:val="0"/>
          <w:marBottom w:val="0"/>
          <w:divBdr>
            <w:top w:val="none" w:sz="0" w:space="0" w:color="auto"/>
            <w:left w:val="none" w:sz="0" w:space="0" w:color="auto"/>
            <w:bottom w:val="none" w:sz="0" w:space="0" w:color="auto"/>
            <w:right w:val="none" w:sz="0" w:space="0" w:color="auto"/>
          </w:divBdr>
        </w:div>
        <w:div w:id="1437218176">
          <w:marLeft w:val="0"/>
          <w:marRight w:val="0"/>
          <w:marTop w:val="0"/>
          <w:marBottom w:val="0"/>
          <w:divBdr>
            <w:top w:val="none" w:sz="0" w:space="0" w:color="auto"/>
            <w:left w:val="none" w:sz="0" w:space="0" w:color="auto"/>
            <w:bottom w:val="none" w:sz="0" w:space="0" w:color="auto"/>
            <w:right w:val="none" w:sz="0" w:space="0" w:color="auto"/>
          </w:divBdr>
        </w:div>
        <w:div w:id="307393783">
          <w:marLeft w:val="0"/>
          <w:marRight w:val="0"/>
          <w:marTop w:val="0"/>
          <w:marBottom w:val="0"/>
          <w:divBdr>
            <w:top w:val="none" w:sz="0" w:space="0" w:color="auto"/>
            <w:left w:val="none" w:sz="0" w:space="0" w:color="auto"/>
            <w:bottom w:val="none" w:sz="0" w:space="0" w:color="auto"/>
            <w:right w:val="none" w:sz="0" w:space="0" w:color="auto"/>
          </w:divBdr>
        </w:div>
        <w:div w:id="297342646">
          <w:marLeft w:val="0"/>
          <w:marRight w:val="0"/>
          <w:marTop w:val="0"/>
          <w:marBottom w:val="0"/>
          <w:divBdr>
            <w:top w:val="none" w:sz="0" w:space="0" w:color="auto"/>
            <w:left w:val="none" w:sz="0" w:space="0" w:color="auto"/>
            <w:bottom w:val="none" w:sz="0" w:space="0" w:color="auto"/>
            <w:right w:val="none" w:sz="0" w:space="0" w:color="auto"/>
          </w:divBdr>
        </w:div>
        <w:div w:id="1462918340">
          <w:marLeft w:val="0"/>
          <w:marRight w:val="0"/>
          <w:marTop w:val="0"/>
          <w:marBottom w:val="0"/>
          <w:divBdr>
            <w:top w:val="none" w:sz="0" w:space="0" w:color="auto"/>
            <w:left w:val="none" w:sz="0" w:space="0" w:color="auto"/>
            <w:bottom w:val="none" w:sz="0" w:space="0" w:color="auto"/>
            <w:right w:val="none" w:sz="0" w:space="0" w:color="auto"/>
          </w:divBdr>
        </w:div>
        <w:div w:id="1968001359">
          <w:marLeft w:val="0"/>
          <w:marRight w:val="0"/>
          <w:marTop w:val="0"/>
          <w:marBottom w:val="0"/>
          <w:divBdr>
            <w:top w:val="none" w:sz="0" w:space="0" w:color="auto"/>
            <w:left w:val="none" w:sz="0" w:space="0" w:color="auto"/>
            <w:bottom w:val="none" w:sz="0" w:space="0" w:color="auto"/>
            <w:right w:val="none" w:sz="0" w:space="0" w:color="auto"/>
          </w:divBdr>
        </w:div>
        <w:div w:id="1915508225">
          <w:marLeft w:val="0"/>
          <w:marRight w:val="0"/>
          <w:marTop w:val="0"/>
          <w:marBottom w:val="0"/>
          <w:divBdr>
            <w:top w:val="none" w:sz="0" w:space="0" w:color="auto"/>
            <w:left w:val="none" w:sz="0" w:space="0" w:color="auto"/>
            <w:bottom w:val="none" w:sz="0" w:space="0" w:color="auto"/>
            <w:right w:val="none" w:sz="0" w:space="0" w:color="auto"/>
          </w:divBdr>
        </w:div>
        <w:div w:id="248273754">
          <w:marLeft w:val="0"/>
          <w:marRight w:val="0"/>
          <w:marTop w:val="0"/>
          <w:marBottom w:val="0"/>
          <w:divBdr>
            <w:top w:val="none" w:sz="0" w:space="0" w:color="auto"/>
            <w:left w:val="none" w:sz="0" w:space="0" w:color="auto"/>
            <w:bottom w:val="none" w:sz="0" w:space="0" w:color="auto"/>
            <w:right w:val="none" w:sz="0" w:space="0" w:color="auto"/>
          </w:divBdr>
        </w:div>
        <w:div w:id="685400960">
          <w:marLeft w:val="0"/>
          <w:marRight w:val="0"/>
          <w:marTop w:val="0"/>
          <w:marBottom w:val="0"/>
          <w:divBdr>
            <w:top w:val="none" w:sz="0" w:space="0" w:color="auto"/>
            <w:left w:val="none" w:sz="0" w:space="0" w:color="auto"/>
            <w:bottom w:val="none" w:sz="0" w:space="0" w:color="auto"/>
            <w:right w:val="none" w:sz="0" w:space="0" w:color="auto"/>
          </w:divBdr>
        </w:div>
        <w:div w:id="1465928595">
          <w:marLeft w:val="0"/>
          <w:marRight w:val="0"/>
          <w:marTop w:val="0"/>
          <w:marBottom w:val="0"/>
          <w:divBdr>
            <w:top w:val="none" w:sz="0" w:space="0" w:color="auto"/>
            <w:left w:val="none" w:sz="0" w:space="0" w:color="auto"/>
            <w:bottom w:val="none" w:sz="0" w:space="0" w:color="auto"/>
            <w:right w:val="none" w:sz="0" w:space="0" w:color="auto"/>
          </w:divBdr>
        </w:div>
        <w:div w:id="1855996030">
          <w:marLeft w:val="0"/>
          <w:marRight w:val="0"/>
          <w:marTop w:val="0"/>
          <w:marBottom w:val="0"/>
          <w:divBdr>
            <w:top w:val="none" w:sz="0" w:space="0" w:color="auto"/>
            <w:left w:val="none" w:sz="0" w:space="0" w:color="auto"/>
            <w:bottom w:val="none" w:sz="0" w:space="0" w:color="auto"/>
            <w:right w:val="none" w:sz="0" w:space="0" w:color="auto"/>
          </w:divBdr>
        </w:div>
        <w:div w:id="961154741">
          <w:marLeft w:val="0"/>
          <w:marRight w:val="0"/>
          <w:marTop w:val="0"/>
          <w:marBottom w:val="0"/>
          <w:divBdr>
            <w:top w:val="none" w:sz="0" w:space="0" w:color="auto"/>
            <w:left w:val="none" w:sz="0" w:space="0" w:color="auto"/>
            <w:bottom w:val="none" w:sz="0" w:space="0" w:color="auto"/>
            <w:right w:val="none" w:sz="0" w:space="0" w:color="auto"/>
          </w:divBdr>
        </w:div>
        <w:div w:id="936864755">
          <w:marLeft w:val="0"/>
          <w:marRight w:val="0"/>
          <w:marTop w:val="0"/>
          <w:marBottom w:val="0"/>
          <w:divBdr>
            <w:top w:val="none" w:sz="0" w:space="0" w:color="auto"/>
            <w:left w:val="none" w:sz="0" w:space="0" w:color="auto"/>
            <w:bottom w:val="none" w:sz="0" w:space="0" w:color="auto"/>
            <w:right w:val="none" w:sz="0" w:space="0" w:color="auto"/>
          </w:divBdr>
        </w:div>
        <w:div w:id="1913855816">
          <w:marLeft w:val="0"/>
          <w:marRight w:val="0"/>
          <w:marTop w:val="0"/>
          <w:marBottom w:val="0"/>
          <w:divBdr>
            <w:top w:val="none" w:sz="0" w:space="0" w:color="auto"/>
            <w:left w:val="none" w:sz="0" w:space="0" w:color="auto"/>
            <w:bottom w:val="none" w:sz="0" w:space="0" w:color="auto"/>
            <w:right w:val="none" w:sz="0" w:space="0" w:color="auto"/>
          </w:divBdr>
        </w:div>
        <w:div w:id="607930745">
          <w:marLeft w:val="0"/>
          <w:marRight w:val="0"/>
          <w:marTop w:val="0"/>
          <w:marBottom w:val="0"/>
          <w:divBdr>
            <w:top w:val="none" w:sz="0" w:space="0" w:color="auto"/>
            <w:left w:val="none" w:sz="0" w:space="0" w:color="auto"/>
            <w:bottom w:val="none" w:sz="0" w:space="0" w:color="auto"/>
            <w:right w:val="none" w:sz="0" w:space="0" w:color="auto"/>
          </w:divBdr>
        </w:div>
        <w:div w:id="890071722">
          <w:marLeft w:val="0"/>
          <w:marRight w:val="0"/>
          <w:marTop w:val="0"/>
          <w:marBottom w:val="0"/>
          <w:divBdr>
            <w:top w:val="none" w:sz="0" w:space="0" w:color="auto"/>
            <w:left w:val="none" w:sz="0" w:space="0" w:color="auto"/>
            <w:bottom w:val="none" w:sz="0" w:space="0" w:color="auto"/>
            <w:right w:val="none" w:sz="0" w:space="0" w:color="auto"/>
          </w:divBdr>
        </w:div>
        <w:div w:id="533543933">
          <w:marLeft w:val="0"/>
          <w:marRight w:val="0"/>
          <w:marTop w:val="0"/>
          <w:marBottom w:val="0"/>
          <w:divBdr>
            <w:top w:val="none" w:sz="0" w:space="0" w:color="auto"/>
            <w:left w:val="none" w:sz="0" w:space="0" w:color="auto"/>
            <w:bottom w:val="none" w:sz="0" w:space="0" w:color="auto"/>
            <w:right w:val="none" w:sz="0" w:space="0" w:color="auto"/>
          </w:divBdr>
        </w:div>
        <w:div w:id="2065176656">
          <w:marLeft w:val="0"/>
          <w:marRight w:val="0"/>
          <w:marTop w:val="0"/>
          <w:marBottom w:val="0"/>
          <w:divBdr>
            <w:top w:val="none" w:sz="0" w:space="0" w:color="auto"/>
            <w:left w:val="none" w:sz="0" w:space="0" w:color="auto"/>
            <w:bottom w:val="none" w:sz="0" w:space="0" w:color="auto"/>
            <w:right w:val="none" w:sz="0" w:space="0" w:color="auto"/>
          </w:divBdr>
        </w:div>
        <w:div w:id="1206672456">
          <w:marLeft w:val="0"/>
          <w:marRight w:val="0"/>
          <w:marTop w:val="0"/>
          <w:marBottom w:val="0"/>
          <w:divBdr>
            <w:top w:val="none" w:sz="0" w:space="0" w:color="auto"/>
            <w:left w:val="none" w:sz="0" w:space="0" w:color="auto"/>
            <w:bottom w:val="none" w:sz="0" w:space="0" w:color="auto"/>
            <w:right w:val="none" w:sz="0" w:space="0" w:color="auto"/>
          </w:divBdr>
        </w:div>
        <w:div w:id="1312825702">
          <w:marLeft w:val="0"/>
          <w:marRight w:val="0"/>
          <w:marTop w:val="0"/>
          <w:marBottom w:val="0"/>
          <w:divBdr>
            <w:top w:val="none" w:sz="0" w:space="0" w:color="auto"/>
            <w:left w:val="none" w:sz="0" w:space="0" w:color="auto"/>
            <w:bottom w:val="none" w:sz="0" w:space="0" w:color="auto"/>
            <w:right w:val="none" w:sz="0" w:space="0" w:color="auto"/>
          </w:divBdr>
        </w:div>
        <w:div w:id="1558786498">
          <w:marLeft w:val="0"/>
          <w:marRight w:val="0"/>
          <w:marTop w:val="0"/>
          <w:marBottom w:val="0"/>
          <w:divBdr>
            <w:top w:val="none" w:sz="0" w:space="0" w:color="auto"/>
            <w:left w:val="none" w:sz="0" w:space="0" w:color="auto"/>
            <w:bottom w:val="none" w:sz="0" w:space="0" w:color="auto"/>
            <w:right w:val="none" w:sz="0" w:space="0" w:color="auto"/>
          </w:divBdr>
        </w:div>
        <w:div w:id="1866946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916</Words>
  <Characters>5227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ALBERTO CASTRO</dc:creator>
  <cp:keywords/>
  <dc:description/>
  <cp:lastModifiedBy>JAIME ALBERTO CASTRO</cp:lastModifiedBy>
  <cp:revision>1</cp:revision>
  <dcterms:created xsi:type="dcterms:W3CDTF">2026-07-06T20:41:00Z</dcterms:created>
  <dcterms:modified xsi:type="dcterms:W3CDTF">2026-07-06T22:47:00Z</dcterms:modified>
</cp:coreProperties>
</file>